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D469" w14:textId="77777777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1"/>
          <w:szCs w:val="21"/>
        </w:rPr>
      </w:pPr>
    </w:p>
    <w:p w14:paraId="7D089671" w14:textId="77777777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wGlennSansDEMO-ExtraBold" w:hAnsi="BwGlennSansDEMO-ExtraBold" w:cs="BwGlennSansDEMO-ExtraBold"/>
          <w:b/>
          <w:bCs/>
          <w:color w:val="369890"/>
          <w:kern w:val="0"/>
          <w:sz w:val="32"/>
          <w:szCs w:val="32"/>
        </w:rPr>
      </w:pPr>
      <w:r>
        <w:rPr>
          <w:rFonts w:ascii="BwGlennSansDEMO-ExtraBold" w:hAnsi="BwGlennSansDEMO-ExtraBold" w:cs="BwGlennSansDEMO-ExtraBold"/>
          <w:b/>
          <w:bCs/>
          <w:color w:val="369890"/>
          <w:kern w:val="0"/>
          <w:sz w:val="42"/>
          <w:szCs w:val="42"/>
        </w:rPr>
        <w:t xml:space="preserve">GUAINA PEDONABILE </w:t>
      </w:r>
      <w:r>
        <w:rPr>
          <w:rFonts w:ascii="BwGlennSansDEMO-ExtraBold" w:hAnsi="BwGlennSansDEMO-ExtraBold" w:cs="BwGlennSansDEMO-ExtraBold"/>
          <w:b/>
          <w:bCs/>
          <w:color w:val="369890"/>
          <w:kern w:val="0"/>
          <w:sz w:val="32"/>
          <w:szCs w:val="32"/>
        </w:rPr>
        <w:t>FIBRORINFORZATO</w:t>
      </w:r>
    </w:p>
    <w:p w14:paraId="4A85594D" w14:textId="4D80629D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1"/>
          <w:szCs w:val="21"/>
        </w:rPr>
      </w:pPr>
      <w:r>
        <w:rPr>
          <w:rFonts w:ascii="BwGlennSansDEMO-Medium" w:hAnsi="BwGlennSansDEMO-Medium" w:cs="BwGlennSansDEMO-Medium"/>
          <w:color w:val="369890"/>
          <w:kern w:val="0"/>
          <w:sz w:val="31"/>
          <w:szCs w:val="31"/>
        </w:rPr>
        <w:t>RESINA IMPERMEABILIZZANTE ELASTOMERICA</w:t>
      </w:r>
    </w:p>
    <w:p w14:paraId="3CBC7722" w14:textId="2E994F56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1"/>
          <w:szCs w:val="21"/>
        </w:rPr>
      </w:pP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Impermeabilizzazione liquida </w:t>
      </w:r>
      <w:r>
        <w:rPr>
          <w:rFonts w:ascii="Klee One" w:eastAsia="Klee One" w:hAnsi="Klee One" w:cs="Klee One"/>
          <w:color w:val="2B2A29"/>
          <w:kern w:val="0"/>
          <w:sz w:val="21"/>
          <w:szCs w:val="21"/>
        </w:rPr>
        <w:t>fi</w:t>
      </w: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brorinforzata a base di resina acrilica </w:t>
      </w:r>
      <w:proofErr w:type="spellStart"/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silanizzata</w:t>
      </w:r>
      <w:proofErr w:type="spellEnd"/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 in</w:t>
      </w:r>
    </w:p>
    <w:p w14:paraId="25332088" w14:textId="77777777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1"/>
          <w:szCs w:val="21"/>
        </w:rPr>
      </w:pP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dispersione acquosa. Ideale per le coperture ispezionabili (balconi e terrazzi)</w:t>
      </w:r>
    </w:p>
    <w:p w14:paraId="3573B854" w14:textId="1FD1AA75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1"/>
          <w:szCs w:val="21"/>
        </w:rPr>
      </w:pP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soggette a pedonabilit</w:t>
      </w:r>
      <w:r>
        <w:rPr>
          <w:rFonts w:ascii="Barlow-Regular" w:eastAsia="Barlow-Regular" w:cs="Barlow-Regular" w:hint="eastAsia"/>
          <w:color w:val="2B2A29"/>
          <w:kern w:val="0"/>
          <w:sz w:val="21"/>
          <w:szCs w:val="21"/>
        </w:rPr>
        <w:t>à</w:t>
      </w: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 e per super</w:t>
      </w:r>
      <w:r>
        <w:rPr>
          <w:rFonts w:ascii="Klee One" w:eastAsia="Klee One" w:hAnsi="Klee One" w:cs="Klee One"/>
          <w:color w:val="2B2A29"/>
          <w:kern w:val="0"/>
          <w:sz w:val="21"/>
          <w:szCs w:val="21"/>
        </w:rPr>
        <w:t>fi</w:t>
      </w: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ci verticali perimetrali. Ha una elevata</w:t>
      </w:r>
    </w:p>
    <w:p w14:paraId="33734DD3" w14:textId="77777777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0"/>
          <w:szCs w:val="20"/>
        </w:rPr>
      </w:pP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elasticit</w:t>
      </w:r>
      <w:r>
        <w:rPr>
          <w:rFonts w:ascii="Barlow-Regular" w:eastAsia="Barlow-Regular" w:cs="Barlow-Regular" w:hint="eastAsia"/>
          <w:color w:val="2B2A29"/>
          <w:kern w:val="0"/>
          <w:sz w:val="21"/>
          <w:szCs w:val="21"/>
        </w:rPr>
        <w:t>à</w:t>
      </w: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 e capacit</w:t>
      </w:r>
      <w:r>
        <w:rPr>
          <w:rFonts w:ascii="Barlow-Regular" w:eastAsia="Barlow-Regular" w:cs="Barlow-Regular" w:hint="eastAsia"/>
          <w:color w:val="2B2A29"/>
          <w:kern w:val="0"/>
          <w:sz w:val="21"/>
          <w:szCs w:val="21"/>
        </w:rPr>
        <w:t>à</w:t>
      </w:r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 di far ponte sulle fessure (crack </w:t>
      </w:r>
      <w:proofErr w:type="spellStart"/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>bridging</w:t>
      </w:r>
      <w:proofErr w:type="spellEnd"/>
      <w:r>
        <w:rPr>
          <w:rFonts w:ascii="Barlow-Regular" w:eastAsia="Barlow-Regular" w:cs="Barlow-Regular"/>
          <w:color w:val="2B2A29"/>
          <w:kern w:val="0"/>
          <w:sz w:val="21"/>
          <w:szCs w:val="21"/>
        </w:rPr>
        <w:t xml:space="preserve">). 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Si consiglia</w:t>
      </w:r>
    </w:p>
    <w:p w14:paraId="697D734A" w14:textId="5914EB2B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0"/>
          <w:szCs w:val="20"/>
        </w:rPr>
      </w:pP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l</w:t>
      </w:r>
      <w:r>
        <w:rPr>
          <w:rFonts w:ascii="Barlow-Regular" w:eastAsia="Barlow-Regular" w:cs="Barlow-Regular" w:hint="eastAsia"/>
          <w:color w:val="2B2A29"/>
          <w:kern w:val="0"/>
          <w:sz w:val="20"/>
          <w:szCs w:val="20"/>
        </w:rPr>
        <w:t>’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 xml:space="preserve">applicazione con tessuto in </w:t>
      </w:r>
      <w:r>
        <w:rPr>
          <w:rFonts w:ascii="Klee One" w:eastAsia="Klee One" w:hAnsi="Klee One" w:cs="Klee One"/>
          <w:color w:val="2B2A29"/>
          <w:kern w:val="0"/>
          <w:sz w:val="20"/>
          <w:szCs w:val="20"/>
        </w:rPr>
        <w:t>fi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bra di vetro (TFV225) per garantire uniformit</w:t>
      </w:r>
      <w:r>
        <w:rPr>
          <w:rFonts w:ascii="Barlow-Regular" w:eastAsia="Barlow-Regular" w:cs="Barlow-Regular" w:hint="eastAsia"/>
          <w:color w:val="2B2A29"/>
          <w:kern w:val="0"/>
          <w:sz w:val="20"/>
          <w:szCs w:val="20"/>
        </w:rPr>
        <w:t>à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 xml:space="preserve"> degli</w:t>
      </w:r>
    </w:p>
    <w:p w14:paraId="0CBCBD58" w14:textId="7C5D9E92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0"/>
          <w:szCs w:val="20"/>
        </w:rPr>
      </w:pP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spessori applicati sulla super</w:t>
      </w:r>
      <w:r>
        <w:rPr>
          <w:rFonts w:ascii="Klee One" w:eastAsia="Klee One" w:hAnsi="Klee One" w:cs="Klee One"/>
          <w:color w:val="2B2A29"/>
          <w:kern w:val="0"/>
          <w:sz w:val="20"/>
          <w:szCs w:val="20"/>
        </w:rPr>
        <w:t>fi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cie da impermeabilizzare ed aumentarne le prestazioni.</w:t>
      </w:r>
    </w:p>
    <w:p w14:paraId="3FB89C2E" w14:textId="77777777" w:rsidR="009562E5" w:rsidRDefault="009562E5" w:rsidP="009562E5">
      <w:pPr>
        <w:autoSpaceDE w:val="0"/>
        <w:autoSpaceDN w:val="0"/>
        <w:adjustRightInd w:val="0"/>
        <w:spacing w:after="0" w:line="240" w:lineRule="auto"/>
        <w:rPr>
          <w:rFonts w:ascii="Barlow-Regular" w:eastAsia="Barlow-Regular" w:cs="Barlow-Regular"/>
          <w:color w:val="2B2A29"/>
          <w:kern w:val="0"/>
          <w:sz w:val="20"/>
          <w:szCs w:val="20"/>
        </w:rPr>
      </w:pPr>
      <w:r>
        <w:rPr>
          <w:rFonts w:ascii="Barlow-Bold" w:eastAsia="Barlow-Regular" w:hAnsi="Barlow-Bold" w:cs="Barlow-Bold"/>
          <w:b/>
          <w:bCs/>
          <w:color w:val="369890"/>
          <w:kern w:val="0"/>
          <w:sz w:val="20"/>
          <w:szCs w:val="20"/>
        </w:rPr>
        <w:t xml:space="preserve">Resa teorica: 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0,500 - 0,750 L/mq per mano a secondo del metodo applicativo</w:t>
      </w:r>
    </w:p>
    <w:p w14:paraId="3F9483E6" w14:textId="284C67EE" w:rsidR="00BE06F7" w:rsidRDefault="009562E5" w:rsidP="009562E5">
      <w:r>
        <w:rPr>
          <w:rFonts w:ascii="Barlow-Bold" w:eastAsia="Barlow-Regular" w:hAnsi="Barlow-Bold" w:cs="Barlow-Bold"/>
          <w:b/>
          <w:bCs/>
          <w:color w:val="369890"/>
          <w:kern w:val="0"/>
          <w:sz w:val="20"/>
          <w:szCs w:val="20"/>
        </w:rPr>
        <w:t xml:space="preserve">Diluizione: 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 xml:space="preserve">pronto </w:t>
      </w:r>
      <w:proofErr w:type="spellStart"/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all</w:t>
      </w:r>
      <w:proofErr w:type="spellEnd"/>
      <w:r>
        <w:rPr>
          <w:rFonts w:ascii="Barlow-Regular" w:eastAsia="Barlow-Regular" w:cs="Barlow-Regular" w:hint="eastAsia"/>
          <w:color w:val="2B2A29"/>
          <w:kern w:val="0"/>
          <w:sz w:val="20"/>
          <w:szCs w:val="20"/>
        </w:rPr>
        <w:t>’</w:t>
      </w:r>
      <w:r>
        <w:rPr>
          <w:rFonts w:ascii="Barlow-Regular" w:eastAsia="Barlow-Regular" w:cs="Barlow-Regular"/>
          <w:color w:val="2B2A29"/>
          <w:kern w:val="0"/>
          <w:sz w:val="20"/>
          <w:szCs w:val="20"/>
        </w:rPr>
        <w:t>uso</w:t>
      </w:r>
    </w:p>
    <w:sectPr w:rsidR="00BE0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wGlennSansDEMO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wGlennSansDEM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lee One">
    <w:charset w:val="80"/>
    <w:family w:val="auto"/>
    <w:pitch w:val="variable"/>
    <w:sig w:usb0="E00002FF" w:usb1="6AC7FCFF" w:usb2="00000052" w:usb3="00000000" w:csb0="00120005" w:csb1="00000000"/>
  </w:font>
  <w:font w:name="Barlow-Bold">
    <w:altName w:val="Barl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5"/>
    <w:rsid w:val="009562E5"/>
    <w:rsid w:val="00BE06F7"/>
    <w:rsid w:val="00F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DE71"/>
  <w15:chartTrackingRefBased/>
  <w15:docId w15:val="{EAE0968F-296A-4B33-9267-7B89102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6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6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6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62E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62E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62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62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62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62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62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62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62E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62E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MR2651</dc:creator>
  <cp:keywords/>
  <dc:description/>
  <cp:lastModifiedBy>MR2651</cp:lastModifiedBy>
  <cp:revision>1</cp:revision>
  <dcterms:created xsi:type="dcterms:W3CDTF">2025-05-27T14:45:00Z</dcterms:created>
  <dcterms:modified xsi:type="dcterms:W3CDTF">2025-05-27T14:47:00Z</dcterms:modified>
</cp:coreProperties>
</file>